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0CCB455F" w:rsidR="00834527" w:rsidRPr="006949E6" w:rsidRDefault="00383E2E" w:rsidP="0008434D">
      <w:pPr>
        <w:spacing w:line="240" w:lineRule="auto"/>
        <w:jc w:val="both"/>
        <w:rPr>
          <w:rFonts w:ascii="Times New Roman" w:hAnsi="Times New Roman" w:cs="Times New Roman"/>
          <w:i/>
          <w:sz w:val="20"/>
          <w:lang w:val="en-GB"/>
        </w:rPr>
      </w:pPr>
      <w:r>
        <w:rPr>
          <w:rFonts w:ascii="Times New Roman" w:hAnsi="Times New Roman" w:cs="Times New Roman"/>
          <w:i/>
          <w:sz w:val="20"/>
          <w:lang w:val="en-GB"/>
        </w:rPr>
        <w:t>Author</w:t>
      </w:r>
      <w:r w:rsidR="00857615">
        <w:rPr>
          <w:rFonts w:ascii="Times New Roman" w:hAnsi="Times New Roman" w:cs="Times New Roman"/>
          <w:i/>
          <w:sz w:val="20"/>
          <w:lang w:val="en-GB"/>
        </w:rPr>
        <w:t>(s)</w:t>
      </w:r>
    </w:p>
    <w:p w14:paraId="4BF69079" w14:textId="2B36C70D" w:rsidR="00543353" w:rsidRDefault="00543353" w:rsidP="00DB5166">
      <w:pPr>
        <w:spacing w:after="0" w:line="240" w:lineRule="auto"/>
        <w:jc w:val="both"/>
        <w:rPr>
          <w:rFonts w:ascii="Times New Roman" w:hAnsi="Times New Roman" w:cs="Times New Roman"/>
          <w:sz w:val="20"/>
          <w:lang w:val="en-GB"/>
        </w:rPr>
      </w:pPr>
      <w:r>
        <w:rPr>
          <w:rFonts w:ascii="Times New Roman" w:hAnsi="Times New Roman" w:cs="Times New Roman"/>
          <w:sz w:val="20"/>
          <w:lang w:val="en-GB"/>
        </w:rPr>
        <w:t>Designation and Affiliation</w:t>
      </w:r>
    </w:p>
    <w:p w14:paraId="48037D42" w14:textId="7959907F" w:rsidR="007E73BB" w:rsidRDefault="00376B81" w:rsidP="00543353">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w:t>
      </w:r>
    </w:p>
    <w:p w14:paraId="1845B61D" w14:textId="77777777" w:rsidR="00543353" w:rsidRPr="00F2448C" w:rsidRDefault="00543353" w:rsidP="00543353">
      <w:pPr>
        <w:spacing w:after="0" w:line="240" w:lineRule="auto"/>
        <w:jc w:val="both"/>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7DD1FB1" w14:textId="77777777" w:rsidR="006C0EE2" w:rsidRDefault="00BD2F20" w:rsidP="00836E79">
      <w:pPr>
        <w:spacing w:line="240" w:lineRule="auto"/>
        <w:rPr>
          <w:rFonts w:ascii="Times New Roman" w:hAnsi="Times New Roman" w:cs="Times New Roman"/>
          <w:sz w:val="20"/>
          <w:lang w:val="en-GB"/>
        </w:rPr>
        <w:sectPr w:rsidR="006C0EE2" w:rsidSect="00765F81">
          <w:footerReference w:type="even" r:id="rId8"/>
          <w:footerReference w:type="default" r:id="rId9"/>
          <w:footerReference w:type="first" r:id="rId10"/>
          <w:pgSz w:w="11880" w:h="15840"/>
          <w:pgMar w:top="851" w:right="1134" w:bottom="851" w:left="1134" w:header="720" w:footer="720" w:gutter="0"/>
          <w:cols w:space="720"/>
          <w:docGrid w:linePitch="360"/>
        </w:sect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ownership, variables,</w:t>
      </w:r>
    </w:p>
    <w:p w14:paraId="1390D0F9" w14:textId="0E6C9D59" w:rsidR="00CE18BC" w:rsidRDefault="00CE18BC"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Shleifer and Vishny,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r w:rsidR="004308F7" w:rsidRPr="00F2448C">
        <w:rPr>
          <w:rFonts w:ascii="Times New Roman" w:hAnsi="Times New Roman" w:cs="Times New Roman"/>
          <w:sz w:val="20"/>
          <w:lang w:val="en-GB"/>
        </w:rPr>
        <w:t>Laporta</w:t>
      </w:r>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lastRenderedPageBreak/>
        <w:t>Early evidence on the relationship between the ownership concentration and firm performance can be traced back to the work of Demsetz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a higher stock return. Similarly, Ovtcharova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2015) that institutional owners enhance the price efficiency. Similarly, Dyakov and Wipplinger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term positive effect as well as a negative long term effect on stock returns of </w:t>
      </w:r>
      <w:r w:rsidRPr="00F2448C">
        <w:rPr>
          <w:rFonts w:ascii="Times New Roman" w:eastAsia="Times New Roman" w:hAnsi="Times New Roman" w:cs="Times New Roman"/>
          <w:sz w:val="20"/>
          <w:lang w:val="en-GB" w:eastAsia="en-IN"/>
        </w:rPr>
        <w:t>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This study considers two major ownership structure measures such as ownership concentration and </w:t>
      </w:r>
      <w:r w:rsidRPr="00F2448C">
        <w:rPr>
          <w:rFonts w:ascii="Times New Roman" w:eastAsia="Times New Roman" w:hAnsi="Times New Roman" w:cs="Times New Roman"/>
          <w:sz w:val="20"/>
          <w:lang w:val="en-GB" w:eastAsia="en-IN"/>
        </w:rPr>
        <w:lastRenderedPageBreak/>
        <w:t>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Arellano–Bond test, Sargan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The insignificant p-values of Sargan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6F69BF">
      <w:pPr>
        <w:spacing w:line="240" w:lineRule="auto"/>
        <w:jc w:val="center"/>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5E549DC2" w14:textId="77777777" w:rsidR="00167A27" w:rsidRDefault="0028447D" w:rsidP="0008434D">
      <w:pPr>
        <w:spacing w:line="240" w:lineRule="auto"/>
        <w:jc w:val="both"/>
        <w:rPr>
          <w:rFonts w:ascii="Times New Roman" w:eastAsia="Times New Roman" w:hAnsi="Times New Roman" w:cs="Times New Roman"/>
          <w:iCs/>
          <w:color w:val="000000" w:themeColor="text1"/>
          <w:sz w:val="20"/>
          <w:szCs w:val="24"/>
          <w:lang w:val="en-GB"/>
        </w:rPr>
        <w:sectPr w:rsidR="00167A27" w:rsidSect="00765F81">
          <w:type w:val="continuous"/>
          <w:pgSz w:w="11880" w:h="15840"/>
          <w:pgMar w:top="851" w:right="1134" w:bottom="851" w:left="1134" w:header="720" w:footer="720" w:gutter="0"/>
          <w:cols w:num="2" w:space="720"/>
          <w:docGrid w:linePitch="360"/>
        </w:sect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0C81C677" w14:textId="01957921" w:rsidR="0003678D" w:rsidRPr="00F2448C" w:rsidRDefault="0003678D" w:rsidP="0008434D">
      <w:pPr>
        <w:spacing w:line="240" w:lineRule="auto"/>
        <w:jc w:val="both"/>
        <w:rPr>
          <w:rFonts w:ascii="Times New Roman" w:eastAsia="Times New Roman" w:hAnsi="Times New Roman" w:cs="Times New Roman"/>
          <w:iCs/>
          <w:color w:val="000000" w:themeColor="text1"/>
          <w:sz w:val="20"/>
          <w:szCs w:val="24"/>
          <w:lang w:val="en-GB"/>
        </w:rPr>
      </w:pPr>
    </w:p>
    <w:p w14:paraId="6BAC5819" w14:textId="0B91048B" w:rsidR="00167A27" w:rsidRDefault="00F67BB3" w:rsidP="0008434D">
      <w:pPr>
        <w:spacing w:after="0" w:line="240" w:lineRule="auto"/>
        <w:rPr>
          <w:rFonts w:ascii="Times New Roman" w:eastAsia="Times New Roman" w:hAnsi="Times New Roman" w:cs="Times New Roman"/>
          <w:color w:val="000000"/>
          <w:sz w:val="20"/>
          <w:szCs w:val="24"/>
          <w:lang w:val="en-GB"/>
        </w:rPr>
        <w:sectPr w:rsidR="00167A27" w:rsidSect="00765F81">
          <w:type w:val="continuous"/>
          <w:pgSz w:w="11880" w:h="15840"/>
          <w:pgMar w:top="851" w:right="1134" w:bottom="851" w:left="1134" w:header="720" w:footer="720" w:gutter="0"/>
          <w:cols w:space="720"/>
          <w:docGrid w:linePitch="360"/>
        </w:sect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noWrap/>
            <w:vAlign w:val="center"/>
            <w:hideMark/>
          </w:tcPr>
          <w:p w14:paraId="580914DB" w14:textId="3D6BCD36"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622EEDF5" w14:textId="77777777" w:rsidR="00167A27" w:rsidRDefault="00167A27" w:rsidP="0008434D">
      <w:pPr>
        <w:spacing w:line="240" w:lineRule="auto"/>
        <w:jc w:val="both"/>
        <w:rPr>
          <w:rFonts w:ascii="Times New Roman" w:eastAsia="Times New Roman" w:hAnsi="Times New Roman" w:cs="Times New Roman"/>
          <w:iCs/>
          <w:sz w:val="20"/>
          <w:szCs w:val="24"/>
          <w:lang w:val="en-GB"/>
        </w:rPr>
        <w:sectPr w:rsidR="00167A27" w:rsidSect="00765F81">
          <w:type w:val="continuous"/>
          <w:pgSz w:w="11880" w:h="15840"/>
          <w:pgMar w:top="851" w:right="1134" w:bottom="851" w:left="1134" w:header="720" w:footer="720" w:gutter="0"/>
          <w:cols w:space="720"/>
          <w:docGrid w:linePitch="360"/>
        </w:sectPr>
      </w:pPr>
    </w:p>
    <w:p w14:paraId="39DFF8F4" w14:textId="6F35133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SR varies within -4.203 and 50.044 with a mean value of 0.389. The average values of OC1 and OC5 are </w:t>
      </w:r>
      <w:r w:rsidRPr="00F2448C">
        <w:rPr>
          <w:rFonts w:ascii="Times New Roman" w:eastAsia="Times New Roman" w:hAnsi="Times New Roman" w:cs="Times New Roman"/>
          <w:iCs/>
          <w:sz w:val="20"/>
          <w:szCs w:val="24"/>
          <w:lang w:val="en-GB"/>
        </w:rPr>
        <w:t>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w:t>
      </w:r>
      <w:r w:rsidRPr="00F2448C">
        <w:rPr>
          <w:rFonts w:ascii="Times New Roman" w:eastAsia="Times New Roman" w:hAnsi="Times New Roman" w:cs="Times New Roman"/>
          <w:iCs/>
          <w:sz w:val="20"/>
          <w:szCs w:val="24"/>
          <w:lang w:val="en-GB"/>
        </w:rPr>
        <w:lastRenderedPageBreak/>
        <w:t xml:space="preserve">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which is similar to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t>
      </w:r>
      <w:r w:rsidR="00E90B28" w:rsidRPr="00F2448C">
        <w:rPr>
          <w:rFonts w:ascii="Times New Roman" w:eastAsia="Times New Roman" w:hAnsi="Times New Roman" w:cs="Times New Roman"/>
          <w:iCs/>
          <w:color w:val="000000" w:themeColor="text1"/>
          <w:sz w:val="20"/>
          <w:szCs w:val="24"/>
          <w:lang w:val="en-GB"/>
        </w:rPr>
        <w:t xml:space="preserve">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2CA6BA0F" w14:textId="77777777" w:rsidR="00167A27"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sectPr w:rsidR="00167A27" w:rsidSect="00765F81">
          <w:type w:val="continuous"/>
          <w:pgSz w:w="11880" w:h="15840"/>
          <w:pgMar w:top="851" w:right="1134" w:bottom="851" w:left="1134" w:header="720" w:footer="720" w:gutter="0"/>
          <w:cols w:num="2" w:space="720"/>
          <w:docGrid w:linePitch="360"/>
        </w:sect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6122149" w14:textId="06DECE8D"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w:t>
      </w:r>
    </w:p>
    <w:p w14:paraId="57B42C99" w14:textId="77777777" w:rsidR="00167A27" w:rsidRDefault="00167A27" w:rsidP="0008434D">
      <w:pPr>
        <w:autoSpaceDE w:val="0"/>
        <w:autoSpaceDN w:val="0"/>
        <w:adjustRightInd w:val="0"/>
        <w:spacing w:after="0" w:line="240" w:lineRule="auto"/>
        <w:jc w:val="center"/>
        <w:rPr>
          <w:rFonts w:ascii="Times New Roman" w:hAnsi="Times New Roman" w:cs="Times New Roman"/>
          <w:color w:val="000000"/>
          <w:sz w:val="20"/>
          <w:szCs w:val="19"/>
          <w:lang w:val="en-GB"/>
        </w:rPr>
        <w:sectPr w:rsidR="00167A27" w:rsidSect="00765F81">
          <w:type w:val="continuous"/>
          <w:pgSz w:w="11880" w:h="15840"/>
          <w:pgMar w:top="851" w:right="1134" w:bottom="851" w:left="1134" w:header="720" w:footer="720" w:gutter="0"/>
          <w:cols w:num="2" w:space="720"/>
          <w:docGrid w:linePitch="360"/>
        </w:sectPr>
      </w:pPr>
    </w:p>
    <w:p w14:paraId="13850284"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6093EBB2" w14:textId="4DBC9BDC" w:rsidR="00DE3873"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p w14:paraId="4A0095F0"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tbl>
      <w:tblPr>
        <w:tblW w:w="7970" w:type="dxa"/>
        <w:jc w:val="center"/>
        <w:tblLook w:val="04A0" w:firstRow="1" w:lastRow="0" w:firstColumn="1" w:lastColumn="0" w:noHBand="0" w:noVBand="1"/>
      </w:tblPr>
      <w:tblGrid>
        <w:gridCol w:w="1106"/>
        <w:gridCol w:w="1144"/>
        <w:gridCol w:w="1182"/>
        <w:gridCol w:w="1081"/>
        <w:gridCol w:w="1081"/>
        <w:gridCol w:w="1082"/>
        <w:gridCol w:w="1294"/>
      </w:tblGrid>
      <w:tr w:rsidR="00871CC3" w:rsidRPr="00F2448C" w14:paraId="4600FBD3" w14:textId="77777777" w:rsidTr="00287950">
        <w:trPr>
          <w:trHeight w:val="338"/>
          <w:jc w:val="center"/>
        </w:trPr>
        <w:tc>
          <w:tcPr>
            <w:tcW w:w="1106" w:type="dxa"/>
            <w:tcBorders>
              <w:top w:val="single" w:sz="4" w:space="0" w:color="auto"/>
              <w:left w:val="nil"/>
              <w:bottom w:val="single" w:sz="4" w:space="0" w:color="auto"/>
              <w:right w:val="nil"/>
            </w:tcBorders>
            <w:noWrap/>
            <w:vAlign w:val="center"/>
            <w:hideMark/>
          </w:tcPr>
          <w:p w14:paraId="326BC164"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1144" w:type="dxa"/>
            <w:tcBorders>
              <w:top w:val="single" w:sz="4" w:space="0" w:color="auto"/>
              <w:left w:val="nil"/>
              <w:bottom w:val="single" w:sz="4" w:space="0" w:color="auto"/>
              <w:right w:val="nil"/>
            </w:tcBorders>
            <w:noWrap/>
            <w:vAlign w:val="center"/>
            <w:hideMark/>
          </w:tcPr>
          <w:p w14:paraId="6AE6D63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1182" w:type="dxa"/>
            <w:tcBorders>
              <w:top w:val="single" w:sz="4" w:space="0" w:color="auto"/>
              <w:left w:val="nil"/>
              <w:bottom w:val="single" w:sz="4" w:space="0" w:color="auto"/>
              <w:right w:val="nil"/>
            </w:tcBorders>
            <w:noWrap/>
            <w:vAlign w:val="center"/>
            <w:hideMark/>
          </w:tcPr>
          <w:p w14:paraId="34B5FC3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1081" w:type="dxa"/>
            <w:tcBorders>
              <w:top w:val="single" w:sz="4" w:space="0" w:color="auto"/>
              <w:left w:val="nil"/>
              <w:bottom w:val="single" w:sz="4" w:space="0" w:color="auto"/>
              <w:right w:val="nil"/>
            </w:tcBorders>
            <w:noWrap/>
            <w:vAlign w:val="center"/>
            <w:hideMark/>
          </w:tcPr>
          <w:p w14:paraId="44998ED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1081" w:type="dxa"/>
            <w:tcBorders>
              <w:top w:val="single" w:sz="4" w:space="0" w:color="auto"/>
              <w:left w:val="nil"/>
              <w:bottom w:val="single" w:sz="4" w:space="0" w:color="auto"/>
              <w:right w:val="nil"/>
            </w:tcBorders>
            <w:noWrap/>
            <w:vAlign w:val="center"/>
            <w:hideMark/>
          </w:tcPr>
          <w:p w14:paraId="5209A52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1082" w:type="dxa"/>
            <w:tcBorders>
              <w:top w:val="single" w:sz="4" w:space="0" w:color="auto"/>
              <w:left w:val="nil"/>
              <w:bottom w:val="single" w:sz="4" w:space="0" w:color="auto"/>
              <w:right w:val="nil"/>
            </w:tcBorders>
            <w:noWrap/>
            <w:vAlign w:val="center"/>
            <w:hideMark/>
          </w:tcPr>
          <w:p w14:paraId="5712655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Standard deviation</w:t>
            </w:r>
          </w:p>
        </w:tc>
        <w:tc>
          <w:tcPr>
            <w:tcW w:w="1294" w:type="dxa"/>
            <w:tcBorders>
              <w:top w:val="single" w:sz="4" w:space="0" w:color="auto"/>
              <w:left w:val="nil"/>
              <w:bottom w:val="single" w:sz="4" w:space="0" w:color="auto"/>
              <w:right w:val="nil"/>
            </w:tcBorders>
            <w:noWrap/>
            <w:vAlign w:val="center"/>
            <w:hideMark/>
          </w:tcPr>
          <w:p w14:paraId="77C7C5E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871CC3" w:rsidRPr="00F2448C" w14:paraId="776C0566" w14:textId="77777777" w:rsidTr="00287950">
        <w:trPr>
          <w:trHeight w:val="338"/>
          <w:jc w:val="center"/>
        </w:trPr>
        <w:tc>
          <w:tcPr>
            <w:tcW w:w="1106" w:type="dxa"/>
            <w:tcBorders>
              <w:top w:val="nil"/>
              <w:left w:val="nil"/>
              <w:bottom w:val="nil"/>
              <w:right w:val="nil"/>
            </w:tcBorders>
            <w:noWrap/>
            <w:vAlign w:val="center"/>
            <w:hideMark/>
          </w:tcPr>
          <w:p w14:paraId="2EC9A8B1"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1144" w:type="dxa"/>
            <w:tcBorders>
              <w:top w:val="nil"/>
              <w:left w:val="nil"/>
              <w:bottom w:val="nil"/>
              <w:right w:val="nil"/>
            </w:tcBorders>
            <w:noWrap/>
            <w:vAlign w:val="center"/>
            <w:hideMark/>
          </w:tcPr>
          <w:p w14:paraId="09595C6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1182" w:type="dxa"/>
            <w:tcBorders>
              <w:top w:val="nil"/>
              <w:left w:val="nil"/>
              <w:bottom w:val="nil"/>
              <w:right w:val="nil"/>
            </w:tcBorders>
            <w:noWrap/>
            <w:vAlign w:val="center"/>
            <w:hideMark/>
          </w:tcPr>
          <w:p w14:paraId="4439B30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1081" w:type="dxa"/>
            <w:tcBorders>
              <w:top w:val="nil"/>
              <w:left w:val="nil"/>
              <w:bottom w:val="nil"/>
              <w:right w:val="nil"/>
            </w:tcBorders>
            <w:noWrap/>
            <w:vAlign w:val="center"/>
            <w:hideMark/>
          </w:tcPr>
          <w:p w14:paraId="7496F44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1081" w:type="dxa"/>
            <w:tcBorders>
              <w:top w:val="nil"/>
              <w:left w:val="nil"/>
              <w:bottom w:val="nil"/>
              <w:right w:val="nil"/>
            </w:tcBorders>
            <w:noWrap/>
            <w:vAlign w:val="center"/>
            <w:hideMark/>
          </w:tcPr>
          <w:p w14:paraId="5E27347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1082" w:type="dxa"/>
            <w:tcBorders>
              <w:top w:val="nil"/>
              <w:left w:val="nil"/>
              <w:bottom w:val="nil"/>
              <w:right w:val="nil"/>
            </w:tcBorders>
            <w:noWrap/>
            <w:vAlign w:val="center"/>
            <w:hideMark/>
          </w:tcPr>
          <w:p w14:paraId="2114BB3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294" w:type="dxa"/>
            <w:tcBorders>
              <w:top w:val="nil"/>
              <w:left w:val="nil"/>
              <w:bottom w:val="nil"/>
              <w:right w:val="nil"/>
            </w:tcBorders>
            <w:noWrap/>
            <w:vAlign w:val="center"/>
            <w:hideMark/>
          </w:tcPr>
          <w:p w14:paraId="335FA5E5"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39E2EE62" w14:textId="77777777" w:rsidTr="00287950">
        <w:trPr>
          <w:trHeight w:val="338"/>
          <w:jc w:val="center"/>
        </w:trPr>
        <w:tc>
          <w:tcPr>
            <w:tcW w:w="1106" w:type="dxa"/>
            <w:tcBorders>
              <w:top w:val="nil"/>
              <w:left w:val="nil"/>
              <w:bottom w:val="nil"/>
              <w:right w:val="nil"/>
            </w:tcBorders>
            <w:noWrap/>
            <w:vAlign w:val="center"/>
            <w:hideMark/>
          </w:tcPr>
          <w:p w14:paraId="061817A3"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1144" w:type="dxa"/>
            <w:tcBorders>
              <w:top w:val="nil"/>
              <w:left w:val="nil"/>
              <w:bottom w:val="nil"/>
              <w:right w:val="nil"/>
            </w:tcBorders>
            <w:noWrap/>
            <w:vAlign w:val="center"/>
            <w:hideMark/>
          </w:tcPr>
          <w:p w14:paraId="654F8C2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1182" w:type="dxa"/>
            <w:tcBorders>
              <w:top w:val="nil"/>
              <w:left w:val="nil"/>
              <w:bottom w:val="nil"/>
              <w:right w:val="nil"/>
            </w:tcBorders>
            <w:noWrap/>
            <w:vAlign w:val="center"/>
            <w:hideMark/>
          </w:tcPr>
          <w:p w14:paraId="37C16A8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1081" w:type="dxa"/>
            <w:tcBorders>
              <w:top w:val="nil"/>
              <w:left w:val="nil"/>
              <w:bottom w:val="nil"/>
              <w:right w:val="nil"/>
            </w:tcBorders>
            <w:noWrap/>
            <w:vAlign w:val="center"/>
            <w:hideMark/>
          </w:tcPr>
          <w:p w14:paraId="122057C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1081" w:type="dxa"/>
            <w:tcBorders>
              <w:top w:val="nil"/>
              <w:left w:val="nil"/>
              <w:bottom w:val="nil"/>
              <w:right w:val="nil"/>
            </w:tcBorders>
            <w:noWrap/>
            <w:vAlign w:val="center"/>
            <w:hideMark/>
          </w:tcPr>
          <w:p w14:paraId="7DD4DAAA"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1082" w:type="dxa"/>
            <w:tcBorders>
              <w:top w:val="nil"/>
              <w:left w:val="nil"/>
              <w:bottom w:val="nil"/>
              <w:right w:val="nil"/>
            </w:tcBorders>
            <w:noWrap/>
            <w:vAlign w:val="center"/>
            <w:hideMark/>
          </w:tcPr>
          <w:p w14:paraId="69D5966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294" w:type="dxa"/>
            <w:tcBorders>
              <w:top w:val="nil"/>
              <w:left w:val="nil"/>
              <w:bottom w:val="nil"/>
              <w:right w:val="nil"/>
            </w:tcBorders>
            <w:noWrap/>
            <w:vAlign w:val="center"/>
            <w:hideMark/>
          </w:tcPr>
          <w:p w14:paraId="41F6F35C"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15A8FF72" w14:textId="77777777" w:rsidTr="00287950">
        <w:trPr>
          <w:trHeight w:val="338"/>
          <w:jc w:val="center"/>
        </w:trPr>
        <w:tc>
          <w:tcPr>
            <w:tcW w:w="1106" w:type="dxa"/>
            <w:tcBorders>
              <w:top w:val="nil"/>
              <w:left w:val="nil"/>
              <w:bottom w:val="nil"/>
              <w:right w:val="nil"/>
            </w:tcBorders>
            <w:noWrap/>
            <w:vAlign w:val="center"/>
            <w:hideMark/>
          </w:tcPr>
          <w:p w14:paraId="51DFF6E6"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1144" w:type="dxa"/>
            <w:tcBorders>
              <w:top w:val="nil"/>
              <w:left w:val="nil"/>
              <w:bottom w:val="nil"/>
              <w:right w:val="nil"/>
            </w:tcBorders>
            <w:noWrap/>
            <w:vAlign w:val="center"/>
            <w:hideMark/>
          </w:tcPr>
          <w:p w14:paraId="180FB27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1182" w:type="dxa"/>
            <w:tcBorders>
              <w:top w:val="nil"/>
              <w:left w:val="nil"/>
              <w:bottom w:val="nil"/>
              <w:right w:val="nil"/>
            </w:tcBorders>
            <w:noWrap/>
            <w:vAlign w:val="center"/>
            <w:hideMark/>
          </w:tcPr>
          <w:p w14:paraId="2D3E621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1081" w:type="dxa"/>
            <w:tcBorders>
              <w:top w:val="nil"/>
              <w:left w:val="nil"/>
              <w:bottom w:val="nil"/>
              <w:right w:val="nil"/>
            </w:tcBorders>
            <w:noWrap/>
            <w:vAlign w:val="center"/>
            <w:hideMark/>
          </w:tcPr>
          <w:p w14:paraId="4D44C9B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1081" w:type="dxa"/>
            <w:tcBorders>
              <w:top w:val="nil"/>
              <w:left w:val="nil"/>
              <w:bottom w:val="nil"/>
              <w:right w:val="nil"/>
            </w:tcBorders>
            <w:noWrap/>
            <w:vAlign w:val="center"/>
            <w:hideMark/>
          </w:tcPr>
          <w:p w14:paraId="62FA68E2"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1082" w:type="dxa"/>
            <w:tcBorders>
              <w:top w:val="nil"/>
              <w:left w:val="nil"/>
              <w:bottom w:val="nil"/>
              <w:right w:val="nil"/>
            </w:tcBorders>
            <w:noWrap/>
            <w:vAlign w:val="center"/>
            <w:hideMark/>
          </w:tcPr>
          <w:p w14:paraId="3B96A149"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294" w:type="dxa"/>
            <w:tcBorders>
              <w:top w:val="nil"/>
              <w:left w:val="nil"/>
              <w:bottom w:val="nil"/>
              <w:right w:val="nil"/>
            </w:tcBorders>
            <w:noWrap/>
            <w:vAlign w:val="center"/>
            <w:hideMark/>
          </w:tcPr>
          <w:p w14:paraId="1CB638A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0B293F6C" w14:textId="77777777" w:rsidTr="00287950">
        <w:trPr>
          <w:trHeight w:val="338"/>
          <w:jc w:val="center"/>
        </w:trPr>
        <w:tc>
          <w:tcPr>
            <w:tcW w:w="1106" w:type="dxa"/>
            <w:tcBorders>
              <w:top w:val="nil"/>
              <w:left w:val="nil"/>
              <w:bottom w:val="nil"/>
              <w:right w:val="nil"/>
            </w:tcBorders>
            <w:noWrap/>
            <w:vAlign w:val="center"/>
            <w:hideMark/>
          </w:tcPr>
          <w:p w14:paraId="0F5C6D8B"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1144" w:type="dxa"/>
            <w:tcBorders>
              <w:top w:val="nil"/>
              <w:left w:val="nil"/>
              <w:bottom w:val="nil"/>
              <w:right w:val="nil"/>
            </w:tcBorders>
            <w:noWrap/>
            <w:vAlign w:val="center"/>
            <w:hideMark/>
          </w:tcPr>
          <w:p w14:paraId="67E318A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1182" w:type="dxa"/>
            <w:tcBorders>
              <w:top w:val="nil"/>
              <w:left w:val="nil"/>
              <w:bottom w:val="nil"/>
              <w:right w:val="nil"/>
            </w:tcBorders>
            <w:noWrap/>
            <w:vAlign w:val="center"/>
            <w:hideMark/>
          </w:tcPr>
          <w:p w14:paraId="0E35B07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1081" w:type="dxa"/>
            <w:tcBorders>
              <w:top w:val="nil"/>
              <w:left w:val="nil"/>
              <w:bottom w:val="nil"/>
              <w:right w:val="nil"/>
            </w:tcBorders>
            <w:noWrap/>
            <w:vAlign w:val="center"/>
            <w:hideMark/>
          </w:tcPr>
          <w:p w14:paraId="3CC05B8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1081" w:type="dxa"/>
            <w:tcBorders>
              <w:top w:val="nil"/>
              <w:left w:val="nil"/>
              <w:bottom w:val="nil"/>
              <w:right w:val="nil"/>
            </w:tcBorders>
            <w:noWrap/>
            <w:vAlign w:val="center"/>
            <w:hideMark/>
          </w:tcPr>
          <w:p w14:paraId="3A83A1F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1082" w:type="dxa"/>
            <w:tcBorders>
              <w:top w:val="nil"/>
              <w:left w:val="nil"/>
              <w:bottom w:val="nil"/>
              <w:right w:val="nil"/>
            </w:tcBorders>
            <w:noWrap/>
            <w:vAlign w:val="center"/>
            <w:hideMark/>
          </w:tcPr>
          <w:p w14:paraId="66E9070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294" w:type="dxa"/>
            <w:tcBorders>
              <w:top w:val="nil"/>
              <w:left w:val="nil"/>
              <w:bottom w:val="nil"/>
              <w:right w:val="nil"/>
            </w:tcBorders>
            <w:noWrap/>
            <w:vAlign w:val="center"/>
            <w:hideMark/>
          </w:tcPr>
          <w:p w14:paraId="14BF54EA"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01FE343F" w14:textId="77777777" w:rsidTr="00287950">
        <w:trPr>
          <w:trHeight w:val="338"/>
          <w:jc w:val="center"/>
        </w:trPr>
        <w:tc>
          <w:tcPr>
            <w:tcW w:w="1106" w:type="dxa"/>
            <w:tcBorders>
              <w:top w:val="nil"/>
              <w:left w:val="nil"/>
              <w:bottom w:val="nil"/>
              <w:right w:val="nil"/>
            </w:tcBorders>
            <w:noWrap/>
            <w:vAlign w:val="center"/>
            <w:hideMark/>
          </w:tcPr>
          <w:p w14:paraId="4872BE5E"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1144" w:type="dxa"/>
            <w:tcBorders>
              <w:top w:val="nil"/>
              <w:left w:val="nil"/>
              <w:bottom w:val="nil"/>
              <w:right w:val="nil"/>
            </w:tcBorders>
            <w:noWrap/>
            <w:vAlign w:val="center"/>
            <w:hideMark/>
          </w:tcPr>
          <w:p w14:paraId="74FDF57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1182" w:type="dxa"/>
            <w:tcBorders>
              <w:top w:val="nil"/>
              <w:left w:val="nil"/>
              <w:bottom w:val="nil"/>
              <w:right w:val="nil"/>
            </w:tcBorders>
            <w:noWrap/>
            <w:vAlign w:val="center"/>
            <w:hideMark/>
          </w:tcPr>
          <w:p w14:paraId="4DBE9D7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1081" w:type="dxa"/>
            <w:tcBorders>
              <w:top w:val="nil"/>
              <w:left w:val="nil"/>
              <w:bottom w:val="nil"/>
              <w:right w:val="nil"/>
            </w:tcBorders>
            <w:noWrap/>
            <w:vAlign w:val="center"/>
            <w:hideMark/>
          </w:tcPr>
          <w:p w14:paraId="24AC945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1081" w:type="dxa"/>
            <w:tcBorders>
              <w:top w:val="nil"/>
              <w:left w:val="nil"/>
              <w:bottom w:val="nil"/>
              <w:right w:val="nil"/>
            </w:tcBorders>
            <w:noWrap/>
            <w:vAlign w:val="center"/>
            <w:hideMark/>
          </w:tcPr>
          <w:p w14:paraId="0BC45FF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1082" w:type="dxa"/>
            <w:tcBorders>
              <w:top w:val="nil"/>
              <w:left w:val="nil"/>
              <w:bottom w:val="nil"/>
              <w:right w:val="nil"/>
            </w:tcBorders>
            <w:noWrap/>
            <w:vAlign w:val="center"/>
            <w:hideMark/>
          </w:tcPr>
          <w:p w14:paraId="07A3738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294" w:type="dxa"/>
            <w:tcBorders>
              <w:top w:val="nil"/>
              <w:left w:val="nil"/>
              <w:bottom w:val="nil"/>
              <w:right w:val="nil"/>
            </w:tcBorders>
            <w:noWrap/>
            <w:vAlign w:val="center"/>
            <w:hideMark/>
          </w:tcPr>
          <w:p w14:paraId="2494F816"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2157B58A" w14:textId="77777777" w:rsidTr="00287950">
        <w:trPr>
          <w:trHeight w:val="338"/>
          <w:jc w:val="center"/>
        </w:trPr>
        <w:tc>
          <w:tcPr>
            <w:tcW w:w="1106" w:type="dxa"/>
            <w:tcBorders>
              <w:top w:val="nil"/>
              <w:left w:val="nil"/>
              <w:bottom w:val="nil"/>
              <w:right w:val="nil"/>
            </w:tcBorders>
            <w:noWrap/>
            <w:vAlign w:val="center"/>
            <w:hideMark/>
          </w:tcPr>
          <w:p w14:paraId="1026F69C"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1144" w:type="dxa"/>
            <w:tcBorders>
              <w:top w:val="nil"/>
              <w:left w:val="nil"/>
              <w:bottom w:val="nil"/>
              <w:right w:val="nil"/>
            </w:tcBorders>
            <w:noWrap/>
            <w:vAlign w:val="center"/>
            <w:hideMark/>
          </w:tcPr>
          <w:p w14:paraId="41CF681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1182" w:type="dxa"/>
            <w:tcBorders>
              <w:top w:val="nil"/>
              <w:left w:val="nil"/>
              <w:bottom w:val="nil"/>
              <w:right w:val="nil"/>
            </w:tcBorders>
            <w:noWrap/>
            <w:vAlign w:val="center"/>
            <w:hideMark/>
          </w:tcPr>
          <w:p w14:paraId="4CD9D5C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1081" w:type="dxa"/>
            <w:tcBorders>
              <w:top w:val="nil"/>
              <w:left w:val="nil"/>
              <w:bottom w:val="nil"/>
              <w:right w:val="nil"/>
            </w:tcBorders>
            <w:noWrap/>
            <w:vAlign w:val="center"/>
            <w:hideMark/>
          </w:tcPr>
          <w:p w14:paraId="5BEC45A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081" w:type="dxa"/>
            <w:tcBorders>
              <w:top w:val="nil"/>
              <w:left w:val="nil"/>
              <w:bottom w:val="nil"/>
              <w:right w:val="nil"/>
            </w:tcBorders>
            <w:noWrap/>
            <w:vAlign w:val="center"/>
            <w:hideMark/>
          </w:tcPr>
          <w:p w14:paraId="1239279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1082" w:type="dxa"/>
            <w:tcBorders>
              <w:top w:val="nil"/>
              <w:left w:val="nil"/>
              <w:bottom w:val="nil"/>
              <w:right w:val="nil"/>
            </w:tcBorders>
            <w:noWrap/>
            <w:vAlign w:val="center"/>
            <w:hideMark/>
          </w:tcPr>
          <w:p w14:paraId="35B13C8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294" w:type="dxa"/>
            <w:tcBorders>
              <w:top w:val="nil"/>
              <w:left w:val="nil"/>
              <w:bottom w:val="nil"/>
              <w:right w:val="nil"/>
            </w:tcBorders>
            <w:noWrap/>
            <w:vAlign w:val="center"/>
            <w:hideMark/>
          </w:tcPr>
          <w:p w14:paraId="6B6BCB00"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6DD21848" w14:textId="77777777" w:rsidTr="00287950">
        <w:trPr>
          <w:trHeight w:val="338"/>
          <w:jc w:val="center"/>
        </w:trPr>
        <w:tc>
          <w:tcPr>
            <w:tcW w:w="1106" w:type="dxa"/>
            <w:tcBorders>
              <w:top w:val="nil"/>
              <w:left w:val="nil"/>
              <w:bottom w:val="nil"/>
              <w:right w:val="nil"/>
            </w:tcBorders>
            <w:noWrap/>
            <w:vAlign w:val="center"/>
            <w:hideMark/>
          </w:tcPr>
          <w:p w14:paraId="3CDC303F"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1144" w:type="dxa"/>
            <w:tcBorders>
              <w:top w:val="nil"/>
              <w:left w:val="nil"/>
              <w:bottom w:val="nil"/>
              <w:right w:val="nil"/>
            </w:tcBorders>
            <w:noWrap/>
            <w:vAlign w:val="center"/>
            <w:hideMark/>
          </w:tcPr>
          <w:p w14:paraId="6633B4C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1182" w:type="dxa"/>
            <w:tcBorders>
              <w:top w:val="nil"/>
              <w:left w:val="nil"/>
              <w:bottom w:val="nil"/>
              <w:right w:val="nil"/>
            </w:tcBorders>
            <w:noWrap/>
            <w:vAlign w:val="center"/>
            <w:hideMark/>
          </w:tcPr>
          <w:p w14:paraId="68AC2D7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1081" w:type="dxa"/>
            <w:tcBorders>
              <w:top w:val="nil"/>
              <w:left w:val="nil"/>
              <w:bottom w:val="nil"/>
              <w:right w:val="nil"/>
            </w:tcBorders>
            <w:noWrap/>
            <w:vAlign w:val="center"/>
            <w:hideMark/>
          </w:tcPr>
          <w:p w14:paraId="3058CD8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1081" w:type="dxa"/>
            <w:tcBorders>
              <w:top w:val="nil"/>
              <w:left w:val="nil"/>
              <w:bottom w:val="nil"/>
              <w:right w:val="nil"/>
            </w:tcBorders>
            <w:noWrap/>
            <w:vAlign w:val="center"/>
            <w:hideMark/>
          </w:tcPr>
          <w:p w14:paraId="59D2713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1082" w:type="dxa"/>
            <w:tcBorders>
              <w:top w:val="nil"/>
              <w:left w:val="nil"/>
              <w:bottom w:val="nil"/>
              <w:right w:val="nil"/>
            </w:tcBorders>
            <w:noWrap/>
            <w:vAlign w:val="center"/>
            <w:hideMark/>
          </w:tcPr>
          <w:p w14:paraId="794E206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294" w:type="dxa"/>
            <w:tcBorders>
              <w:top w:val="nil"/>
              <w:left w:val="nil"/>
              <w:bottom w:val="nil"/>
              <w:right w:val="nil"/>
            </w:tcBorders>
            <w:noWrap/>
            <w:vAlign w:val="center"/>
            <w:hideMark/>
          </w:tcPr>
          <w:p w14:paraId="453DC597"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54DDFD46" w14:textId="77777777" w:rsidTr="00287950">
        <w:trPr>
          <w:trHeight w:val="338"/>
          <w:jc w:val="center"/>
        </w:trPr>
        <w:tc>
          <w:tcPr>
            <w:tcW w:w="1106" w:type="dxa"/>
            <w:tcBorders>
              <w:top w:val="nil"/>
              <w:left w:val="nil"/>
              <w:bottom w:val="nil"/>
              <w:right w:val="nil"/>
            </w:tcBorders>
            <w:noWrap/>
            <w:vAlign w:val="center"/>
            <w:hideMark/>
          </w:tcPr>
          <w:p w14:paraId="2FFA679C"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1144" w:type="dxa"/>
            <w:tcBorders>
              <w:top w:val="nil"/>
              <w:left w:val="nil"/>
              <w:bottom w:val="nil"/>
              <w:right w:val="nil"/>
            </w:tcBorders>
            <w:noWrap/>
            <w:vAlign w:val="center"/>
            <w:hideMark/>
          </w:tcPr>
          <w:p w14:paraId="3465A34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1182" w:type="dxa"/>
            <w:tcBorders>
              <w:top w:val="nil"/>
              <w:left w:val="nil"/>
              <w:bottom w:val="nil"/>
              <w:right w:val="nil"/>
            </w:tcBorders>
            <w:noWrap/>
            <w:vAlign w:val="center"/>
            <w:hideMark/>
          </w:tcPr>
          <w:p w14:paraId="3A35282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1081" w:type="dxa"/>
            <w:tcBorders>
              <w:top w:val="nil"/>
              <w:left w:val="nil"/>
              <w:bottom w:val="nil"/>
              <w:right w:val="nil"/>
            </w:tcBorders>
            <w:noWrap/>
            <w:vAlign w:val="center"/>
            <w:hideMark/>
          </w:tcPr>
          <w:p w14:paraId="2451CF0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1081" w:type="dxa"/>
            <w:tcBorders>
              <w:top w:val="nil"/>
              <w:left w:val="nil"/>
              <w:bottom w:val="nil"/>
              <w:right w:val="nil"/>
            </w:tcBorders>
            <w:noWrap/>
            <w:vAlign w:val="center"/>
            <w:hideMark/>
          </w:tcPr>
          <w:p w14:paraId="717F691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1082" w:type="dxa"/>
            <w:tcBorders>
              <w:top w:val="nil"/>
              <w:left w:val="nil"/>
              <w:bottom w:val="nil"/>
              <w:right w:val="nil"/>
            </w:tcBorders>
            <w:noWrap/>
            <w:vAlign w:val="center"/>
            <w:hideMark/>
          </w:tcPr>
          <w:p w14:paraId="3FEEE69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294" w:type="dxa"/>
            <w:tcBorders>
              <w:top w:val="nil"/>
              <w:left w:val="nil"/>
              <w:bottom w:val="nil"/>
              <w:right w:val="nil"/>
            </w:tcBorders>
            <w:noWrap/>
            <w:vAlign w:val="center"/>
            <w:hideMark/>
          </w:tcPr>
          <w:p w14:paraId="4B108C2A"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1B0C2F5A" w14:textId="77777777" w:rsidTr="00287950">
        <w:trPr>
          <w:trHeight w:val="338"/>
          <w:jc w:val="center"/>
        </w:trPr>
        <w:tc>
          <w:tcPr>
            <w:tcW w:w="1106" w:type="dxa"/>
            <w:tcBorders>
              <w:top w:val="nil"/>
              <w:left w:val="nil"/>
              <w:bottom w:val="nil"/>
              <w:right w:val="nil"/>
            </w:tcBorders>
            <w:noWrap/>
            <w:vAlign w:val="center"/>
            <w:hideMark/>
          </w:tcPr>
          <w:p w14:paraId="634A5459"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1144" w:type="dxa"/>
            <w:tcBorders>
              <w:top w:val="nil"/>
              <w:left w:val="nil"/>
              <w:bottom w:val="nil"/>
              <w:right w:val="nil"/>
            </w:tcBorders>
            <w:noWrap/>
            <w:vAlign w:val="center"/>
            <w:hideMark/>
          </w:tcPr>
          <w:p w14:paraId="3592C61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nil"/>
              <w:right w:val="nil"/>
            </w:tcBorders>
            <w:noWrap/>
            <w:vAlign w:val="center"/>
            <w:hideMark/>
          </w:tcPr>
          <w:p w14:paraId="5AC5CEB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1081" w:type="dxa"/>
            <w:tcBorders>
              <w:top w:val="nil"/>
              <w:left w:val="nil"/>
              <w:bottom w:val="nil"/>
              <w:right w:val="nil"/>
            </w:tcBorders>
            <w:noWrap/>
            <w:vAlign w:val="center"/>
            <w:hideMark/>
          </w:tcPr>
          <w:p w14:paraId="71995B49"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1081" w:type="dxa"/>
            <w:tcBorders>
              <w:top w:val="nil"/>
              <w:left w:val="nil"/>
              <w:bottom w:val="nil"/>
              <w:right w:val="nil"/>
            </w:tcBorders>
            <w:noWrap/>
            <w:vAlign w:val="center"/>
            <w:hideMark/>
          </w:tcPr>
          <w:p w14:paraId="235000E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1082" w:type="dxa"/>
            <w:tcBorders>
              <w:top w:val="nil"/>
              <w:left w:val="nil"/>
              <w:bottom w:val="nil"/>
              <w:right w:val="nil"/>
            </w:tcBorders>
            <w:noWrap/>
            <w:vAlign w:val="center"/>
            <w:hideMark/>
          </w:tcPr>
          <w:p w14:paraId="4F402BE2"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294" w:type="dxa"/>
            <w:tcBorders>
              <w:top w:val="nil"/>
              <w:left w:val="nil"/>
              <w:bottom w:val="nil"/>
              <w:right w:val="nil"/>
            </w:tcBorders>
            <w:noWrap/>
            <w:vAlign w:val="center"/>
            <w:hideMark/>
          </w:tcPr>
          <w:p w14:paraId="6BE0683F"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4EC80F19" w14:textId="77777777" w:rsidTr="00287950">
        <w:trPr>
          <w:trHeight w:val="338"/>
          <w:jc w:val="center"/>
        </w:trPr>
        <w:tc>
          <w:tcPr>
            <w:tcW w:w="1106" w:type="dxa"/>
            <w:tcBorders>
              <w:top w:val="nil"/>
              <w:left w:val="nil"/>
              <w:bottom w:val="nil"/>
              <w:right w:val="nil"/>
            </w:tcBorders>
            <w:noWrap/>
            <w:vAlign w:val="center"/>
            <w:hideMark/>
          </w:tcPr>
          <w:p w14:paraId="3D8149EA"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1144" w:type="dxa"/>
            <w:tcBorders>
              <w:top w:val="nil"/>
              <w:left w:val="nil"/>
              <w:bottom w:val="nil"/>
              <w:right w:val="nil"/>
            </w:tcBorders>
            <w:noWrap/>
            <w:vAlign w:val="center"/>
            <w:hideMark/>
          </w:tcPr>
          <w:p w14:paraId="23FD750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nil"/>
              <w:right w:val="nil"/>
            </w:tcBorders>
            <w:noWrap/>
            <w:vAlign w:val="center"/>
            <w:hideMark/>
          </w:tcPr>
          <w:p w14:paraId="4D7F009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1081" w:type="dxa"/>
            <w:tcBorders>
              <w:top w:val="nil"/>
              <w:left w:val="nil"/>
              <w:bottom w:val="nil"/>
              <w:right w:val="nil"/>
            </w:tcBorders>
            <w:noWrap/>
            <w:vAlign w:val="center"/>
            <w:hideMark/>
          </w:tcPr>
          <w:p w14:paraId="1C461DB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1081" w:type="dxa"/>
            <w:tcBorders>
              <w:top w:val="nil"/>
              <w:left w:val="nil"/>
              <w:bottom w:val="nil"/>
              <w:right w:val="nil"/>
            </w:tcBorders>
            <w:noWrap/>
            <w:vAlign w:val="center"/>
            <w:hideMark/>
          </w:tcPr>
          <w:p w14:paraId="48EE90D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1082" w:type="dxa"/>
            <w:tcBorders>
              <w:top w:val="nil"/>
              <w:left w:val="nil"/>
              <w:bottom w:val="nil"/>
              <w:right w:val="nil"/>
            </w:tcBorders>
            <w:noWrap/>
            <w:vAlign w:val="center"/>
            <w:hideMark/>
          </w:tcPr>
          <w:p w14:paraId="0336FA5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294" w:type="dxa"/>
            <w:tcBorders>
              <w:top w:val="nil"/>
              <w:left w:val="nil"/>
              <w:bottom w:val="nil"/>
              <w:right w:val="nil"/>
            </w:tcBorders>
            <w:noWrap/>
            <w:vAlign w:val="center"/>
            <w:hideMark/>
          </w:tcPr>
          <w:p w14:paraId="6F2DE571"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585A0825" w14:textId="77777777" w:rsidTr="00287950">
        <w:trPr>
          <w:trHeight w:val="338"/>
          <w:jc w:val="center"/>
        </w:trPr>
        <w:tc>
          <w:tcPr>
            <w:tcW w:w="1106" w:type="dxa"/>
            <w:tcBorders>
              <w:top w:val="nil"/>
              <w:left w:val="nil"/>
              <w:bottom w:val="single" w:sz="4" w:space="0" w:color="auto"/>
              <w:right w:val="nil"/>
            </w:tcBorders>
            <w:noWrap/>
            <w:vAlign w:val="center"/>
            <w:hideMark/>
          </w:tcPr>
          <w:p w14:paraId="6BF803D4"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1144" w:type="dxa"/>
            <w:tcBorders>
              <w:top w:val="nil"/>
              <w:left w:val="nil"/>
              <w:bottom w:val="single" w:sz="4" w:space="0" w:color="auto"/>
              <w:right w:val="nil"/>
            </w:tcBorders>
            <w:noWrap/>
            <w:vAlign w:val="center"/>
            <w:hideMark/>
          </w:tcPr>
          <w:p w14:paraId="24B7BC6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single" w:sz="4" w:space="0" w:color="auto"/>
              <w:right w:val="nil"/>
            </w:tcBorders>
            <w:noWrap/>
            <w:vAlign w:val="center"/>
            <w:hideMark/>
          </w:tcPr>
          <w:p w14:paraId="37C278FB"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1081" w:type="dxa"/>
            <w:tcBorders>
              <w:top w:val="nil"/>
              <w:left w:val="nil"/>
              <w:bottom w:val="single" w:sz="4" w:space="0" w:color="auto"/>
              <w:right w:val="nil"/>
            </w:tcBorders>
            <w:noWrap/>
            <w:vAlign w:val="center"/>
            <w:hideMark/>
          </w:tcPr>
          <w:p w14:paraId="3AA8015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1081" w:type="dxa"/>
            <w:tcBorders>
              <w:top w:val="nil"/>
              <w:left w:val="nil"/>
              <w:bottom w:val="single" w:sz="4" w:space="0" w:color="auto"/>
              <w:right w:val="nil"/>
            </w:tcBorders>
            <w:noWrap/>
            <w:vAlign w:val="center"/>
            <w:hideMark/>
          </w:tcPr>
          <w:p w14:paraId="5A47228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1082" w:type="dxa"/>
            <w:tcBorders>
              <w:top w:val="nil"/>
              <w:left w:val="nil"/>
              <w:bottom w:val="single" w:sz="4" w:space="0" w:color="auto"/>
              <w:right w:val="nil"/>
            </w:tcBorders>
            <w:noWrap/>
            <w:vAlign w:val="center"/>
            <w:hideMark/>
          </w:tcPr>
          <w:p w14:paraId="7604149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294" w:type="dxa"/>
            <w:tcBorders>
              <w:top w:val="nil"/>
              <w:left w:val="nil"/>
              <w:bottom w:val="single" w:sz="4" w:space="0" w:color="auto"/>
              <w:right w:val="nil"/>
            </w:tcBorders>
            <w:noWrap/>
            <w:vAlign w:val="center"/>
            <w:hideMark/>
          </w:tcPr>
          <w:p w14:paraId="1596E19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0B4DA9C2"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3D7623FC" w14:textId="77777777" w:rsidR="00871CC3" w:rsidRPr="00F2448C"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7E6497B3" w14:textId="77777777" w:rsidR="00167A27"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sectPr w:rsidR="00167A27" w:rsidSect="00765F81">
          <w:type w:val="continuous"/>
          <w:pgSz w:w="11880" w:h="15840"/>
          <w:pgMar w:top="851" w:right="1134" w:bottom="851" w:left="1134" w:header="720" w:footer="720" w:gutter="0"/>
          <w:cols w:space="720"/>
          <w:docGrid w:linePitch="360"/>
        </w:sect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04D06F46" w14:textId="361FD614" w:rsidR="004457C0" w:rsidRPr="00F2448C" w:rsidRDefault="004457C0"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J. Real Estate Portf.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r w:rsidR="009509A3" w:rsidRPr="00F2448C">
        <w:rPr>
          <w:rFonts w:ascii="Times New Roman" w:hAnsi="Times New Roman" w:cs="Times New Roman"/>
          <w:sz w:val="20"/>
          <w:lang w:val="en-GB"/>
        </w:rPr>
        <w:t>Empir.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Geogr.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Demsetz,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Dyakov, T. and Wipplinger,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Rev. Financ.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Lopez‐de‐Silanes, F., and Shleifer,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Manawaduge,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Ovtcharova,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r w:rsidRPr="00F2448C">
        <w:rPr>
          <w:rFonts w:ascii="Times New Roman" w:hAnsi="Times New Roman" w:cs="Times New Roman"/>
          <w:sz w:val="20"/>
          <w:lang w:val="en-GB"/>
        </w:rPr>
        <w:t>Vishny,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ed. A. Jonathan Batten, and G PeterSzilagyi,</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hyperlink r:id="rId11"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04FB764C" w14:textId="77777777" w:rsidR="00583D45" w:rsidRDefault="00B95047" w:rsidP="00A06726">
      <w:pPr>
        <w:autoSpaceDE w:val="0"/>
        <w:autoSpaceDN w:val="0"/>
        <w:adjustRightInd w:val="0"/>
        <w:spacing w:after="0" w:line="240" w:lineRule="auto"/>
        <w:jc w:val="both"/>
        <w:rPr>
          <w:rFonts w:ascii="Times New Roman" w:hAnsi="Times New Roman" w:cs="Times New Roman"/>
          <w:sz w:val="20"/>
          <w:lang w:val="en-GB"/>
        </w:rPr>
        <w:sectPr w:rsidR="00583D45" w:rsidSect="00765F81">
          <w:type w:val="continuous"/>
          <w:pgSz w:w="11880" w:h="15840"/>
          <w:pgMar w:top="851" w:right="1134" w:bottom="851" w:left="1134" w:header="720" w:footer="720" w:gutter="0"/>
          <w:cols w:num="2" w:space="720"/>
          <w:docGrid w:linePitch="360"/>
        </w:sect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p w14:paraId="1D1D98F0" w14:textId="3CBBA025" w:rsidR="007F631B" w:rsidRPr="00F2448C" w:rsidRDefault="007F631B"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p>
    <w:sectPr w:rsidR="007F631B" w:rsidRPr="00F2448C" w:rsidSect="00765F81">
      <w:type w:val="continuous"/>
      <w:pgSz w:w="11880" w:h="15840"/>
      <w:pgMar w:top="851" w:right="1134" w:bottom="851"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DD35E" w14:textId="77777777" w:rsidR="000E5937" w:rsidRDefault="000E5937" w:rsidP="00383E2E">
      <w:pPr>
        <w:spacing w:after="0" w:line="240" w:lineRule="auto"/>
      </w:pPr>
      <w:r>
        <w:separator/>
      </w:r>
    </w:p>
  </w:endnote>
  <w:endnote w:type="continuationSeparator" w:id="0">
    <w:p w14:paraId="1E721BA8" w14:textId="77777777" w:rsidR="000E5937" w:rsidRDefault="000E5937" w:rsidP="0038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C16B" w14:textId="448F42BD" w:rsidR="00383E2E" w:rsidRDefault="00383E2E">
    <w:pPr>
      <w:pStyle w:val="Footer"/>
    </w:pPr>
    <w:r>
      <w:rPr>
        <w:noProof/>
      </w:rPr>
      <mc:AlternateContent>
        <mc:Choice Requires="wps">
          <w:drawing>
            <wp:anchor distT="0" distB="0" distL="0" distR="0" simplePos="0" relativeHeight="251659264" behindDoc="0" locked="0" layoutInCell="1" allowOverlap="1" wp14:anchorId="470031D0" wp14:editId="169CD592">
              <wp:simplePos x="635" y="635"/>
              <wp:positionH relativeFrom="page">
                <wp:align>left</wp:align>
              </wp:positionH>
              <wp:positionV relativeFrom="page">
                <wp:align>bottom</wp:align>
              </wp:positionV>
              <wp:extent cx="2085975" cy="344805"/>
              <wp:effectExtent l="0" t="0" r="9525" b="0"/>
              <wp:wrapNone/>
              <wp:docPr id="189771565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04C54AB9" w14:textId="1FD045FE" w:rsidR="00383E2E" w:rsidRPr="00383E2E" w:rsidRDefault="00383E2E" w:rsidP="00383E2E">
                          <w:pPr>
                            <w:spacing w:after="0"/>
                            <w:rPr>
                              <w:rFonts w:ascii="Rockwell" w:eastAsia="Rockwell" w:hAnsi="Rockwell" w:cs="Rockwell"/>
                              <w:noProof/>
                              <w:color w:val="0078D7"/>
                              <w:sz w:val="18"/>
                              <w:szCs w:val="18"/>
                            </w:rPr>
                          </w:pPr>
                          <w:r w:rsidRPr="00383E2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0031D0"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e8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" filled="f" stroked="f">
              <v:textbox style="mso-fit-shape-to-text:t" inset="20pt,0,0,15pt">
                <w:txbxContent>
                  <w:p w14:paraId="04C54AB9" w14:textId="1FD045FE" w:rsidR="00383E2E" w:rsidRPr="00383E2E" w:rsidRDefault="00383E2E" w:rsidP="00383E2E">
                    <w:pPr>
                      <w:spacing w:after="0"/>
                      <w:rPr>
                        <w:rFonts w:ascii="Rockwell" w:eastAsia="Rockwell" w:hAnsi="Rockwell" w:cs="Rockwell"/>
                        <w:noProof/>
                        <w:color w:val="0078D7"/>
                        <w:sz w:val="18"/>
                        <w:szCs w:val="18"/>
                      </w:rPr>
                    </w:pPr>
                    <w:r w:rsidRPr="00383E2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E103" w14:textId="10BB9BB8" w:rsidR="00383E2E" w:rsidRDefault="00383E2E">
    <w:pPr>
      <w:pStyle w:val="Footer"/>
    </w:pPr>
    <w:r>
      <w:rPr>
        <w:noProof/>
      </w:rPr>
      <mc:AlternateContent>
        <mc:Choice Requires="wps">
          <w:drawing>
            <wp:anchor distT="0" distB="0" distL="0" distR="0" simplePos="0" relativeHeight="251660288" behindDoc="0" locked="0" layoutInCell="1" allowOverlap="1" wp14:anchorId="0851A163" wp14:editId="1FE6199D">
              <wp:simplePos x="635" y="635"/>
              <wp:positionH relativeFrom="page">
                <wp:align>left</wp:align>
              </wp:positionH>
              <wp:positionV relativeFrom="page">
                <wp:align>bottom</wp:align>
              </wp:positionV>
              <wp:extent cx="2085975" cy="344805"/>
              <wp:effectExtent l="0" t="0" r="9525" b="0"/>
              <wp:wrapNone/>
              <wp:docPr id="49135779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3A01A6D9" w14:textId="6C6AA720" w:rsidR="00383E2E" w:rsidRPr="00383E2E" w:rsidRDefault="00383E2E" w:rsidP="00383E2E">
                          <w:pPr>
                            <w:spacing w:after="0"/>
                            <w:rPr>
                              <w:rFonts w:ascii="Rockwell" w:eastAsia="Rockwell" w:hAnsi="Rockwell" w:cs="Rockwell"/>
                              <w:noProof/>
                              <w:color w:val="0078D7"/>
                              <w:sz w:val="18"/>
                              <w:szCs w:val="18"/>
                            </w:rPr>
                          </w:pPr>
                          <w:r w:rsidRPr="00383E2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51A163"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" filled="f" stroked="f">
              <v:textbox style="mso-fit-shape-to-text:t" inset="20pt,0,0,15pt">
                <w:txbxContent>
                  <w:p w14:paraId="3A01A6D9" w14:textId="6C6AA720" w:rsidR="00383E2E" w:rsidRPr="00383E2E" w:rsidRDefault="00383E2E" w:rsidP="00383E2E">
                    <w:pPr>
                      <w:spacing w:after="0"/>
                      <w:rPr>
                        <w:rFonts w:ascii="Rockwell" w:eastAsia="Rockwell" w:hAnsi="Rockwell" w:cs="Rockwell"/>
                        <w:noProof/>
                        <w:color w:val="0078D7"/>
                        <w:sz w:val="18"/>
                        <w:szCs w:val="18"/>
                      </w:rPr>
                    </w:pPr>
                    <w:r w:rsidRPr="00383E2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927F" w14:textId="1A7A7AED" w:rsidR="00383E2E" w:rsidRDefault="00383E2E">
    <w:pPr>
      <w:pStyle w:val="Footer"/>
    </w:pPr>
    <w:r>
      <w:rPr>
        <w:noProof/>
      </w:rPr>
      <mc:AlternateContent>
        <mc:Choice Requires="wps">
          <w:drawing>
            <wp:anchor distT="0" distB="0" distL="0" distR="0" simplePos="0" relativeHeight="251658240" behindDoc="0" locked="0" layoutInCell="1" allowOverlap="1" wp14:anchorId="67CA8560" wp14:editId="6058C8C9">
              <wp:simplePos x="635" y="635"/>
              <wp:positionH relativeFrom="page">
                <wp:align>left</wp:align>
              </wp:positionH>
              <wp:positionV relativeFrom="page">
                <wp:align>bottom</wp:align>
              </wp:positionV>
              <wp:extent cx="2085975" cy="344805"/>
              <wp:effectExtent l="0" t="0" r="9525" b="0"/>
              <wp:wrapNone/>
              <wp:docPr id="727765745"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2814381E" w14:textId="2AB9A80C" w:rsidR="00383E2E" w:rsidRPr="00383E2E" w:rsidRDefault="00383E2E" w:rsidP="00383E2E">
                          <w:pPr>
                            <w:spacing w:after="0"/>
                            <w:rPr>
                              <w:rFonts w:ascii="Rockwell" w:eastAsia="Rockwell" w:hAnsi="Rockwell" w:cs="Rockwell"/>
                              <w:noProof/>
                              <w:color w:val="0078D7"/>
                              <w:sz w:val="18"/>
                              <w:szCs w:val="18"/>
                            </w:rPr>
                          </w:pPr>
                          <w:r w:rsidRPr="00383E2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CA8560"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R9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" filled="f" stroked="f">
              <v:textbox style="mso-fit-shape-to-text:t" inset="20pt,0,0,15pt">
                <w:txbxContent>
                  <w:p w14:paraId="2814381E" w14:textId="2AB9A80C" w:rsidR="00383E2E" w:rsidRPr="00383E2E" w:rsidRDefault="00383E2E" w:rsidP="00383E2E">
                    <w:pPr>
                      <w:spacing w:after="0"/>
                      <w:rPr>
                        <w:rFonts w:ascii="Rockwell" w:eastAsia="Rockwell" w:hAnsi="Rockwell" w:cs="Rockwell"/>
                        <w:noProof/>
                        <w:color w:val="0078D7"/>
                        <w:sz w:val="18"/>
                        <w:szCs w:val="18"/>
                      </w:rPr>
                    </w:pPr>
                    <w:r w:rsidRPr="00383E2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B35B" w14:textId="77777777" w:rsidR="000E5937" w:rsidRDefault="000E5937" w:rsidP="00383E2E">
      <w:pPr>
        <w:spacing w:after="0" w:line="240" w:lineRule="auto"/>
      </w:pPr>
      <w:r>
        <w:separator/>
      </w:r>
    </w:p>
  </w:footnote>
  <w:footnote w:type="continuationSeparator" w:id="0">
    <w:p w14:paraId="2B19534C" w14:textId="77777777" w:rsidR="000E5937" w:rsidRDefault="000E5937" w:rsidP="00383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094650">
    <w:abstractNumId w:val="0"/>
  </w:num>
  <w:num w:numId="2" w16cid:durableId="147791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937"/>
    <w:rsid w:val="000E5A9B"/>
    <w:rsid w:val="00117CED"/>
    <w:rsid w:val="00133B5B"/>
    <w:rsid w:val="0016749B"/>
    <w:rsid w:val="00167A27"/>
    <w:rsid w:val="0018687F"/>
    <w:rsid w:val="0019651C"/>
    <w:rsid w:val="001C6CAB"/>
    <w:rsid w:val="001E65AF"/>
    <w:rsid w:val="001F70A1"/>
    <w:rsid w:val="00206D8C"/>
    <w:rsid w:val="00214370"/>
    <w:rsid w:val="00220DCB"/>
    <w:rsid w:val="002322C3"/>
    <w:rsid w:val="00241AC8"/>
    <w:rsid w:val="00267469"/>
    <w:rsid w:val="00270847"/>
    <w:rsid w:val="0028447D"/>
    <w:rsid w:val="00285FB5"/>
    <w:rsid w:val="00287950"/>
    <w:rsid w:val="002A732A"/>
    <w:rsid w:val="00324429"/>
    <w:rsid w:val="003339C9"/>
    <w:rsid w:val="003518BE"/>
    <w:rsid w:val="00361F32"/>
    <w:rsid w:val="003669A2"/>
    <w:rsid w:val="00376B81"/>
    <w:rsid w:val="00383E2E"/>
    <w:rsid w:val="00390C0E"/>
    <w:rsid w:val="003D4C3C"/>
    <w:rsid w:val="003F36C9"/>
    <w:rsid w:val="00420C69"/>
    <w:rsid w:val="00421973"/>
    <w:rsid w:val="004308F7"/>
    <w:rsid w:val="004368B3"/>
    <w:rsid w:val="004457C0"/>
    <w:rsid w:val="0044749A"/>
    <w:rsid w:val="004508F2"/>
    <w:rsid w:val="00453762"/>
    <w:rsid w:val="00472F3B"/>
    <w:rsid w:val="00473BBB"/>
    <w:rsid w:val="00480485"/>
    <w:rsid w:val="00490A09"/>
    <w:rsid w:val="004C6B39"/>
    <w:rsid w:val="004D5526"/>
    <w:rsid w:val="004E14C8"/>
    <w:rsid w:val="004E36A7"/>
    <w:rsid w:val="004E3A0F"/>
    <w:rsid w:val="004F7FE1"/>
    <w:rsid w:val="00510237"/>
    <w:rsid w:val="0051253E"/>
    <w:rsid w:val="005376DB"/>
    <w:rsid w:val="00543353"/>
    <w:rsid w:val="00543CD6"/>
    <w:rsid w:val="00583D45"/>
    <w:rsid w:val="00586479"/>
    <w:rsid w:val="00590699"/>
    <w:rsid w:val="005B3D5C"/>
    <w:rsid w:val="005B52AE"/>
    <w:rsid w:val="005E3465"/>
    <w:rsid w:val="00616173"/>
    <w:rsid w:val="00627CC8"/>
    <w:rsid w:val="00656764"/>
    <w:rsid w:val="00675CDE"/>
    <w:rsid w:val="00684F3B"/>
    <w:rsid w:val="006908C3"/>
    <w:rsid w:val="006949E6"/>
    <w:rsid w:val="006C0EE2"/>
    <w:rsid w:val="006E25FE"/>
    <w:rsid w:val="006E6098"/>
    <w:rsid w:val="006F69BF"/>
    <w:rsid w:val="00700FE8"/>
    <w:rsid w:val="00765F81"/>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36E79"/>
    <w:rsid w:val="0085253C"/>
    <w:rsid w:val="00857615"/>
    <w:rsid w:val="00871CC3"/>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841FF"/>
    <w:rsid w:val="00A9406D"/>
    <w:rsid w:val="00A943A0"/>
    <w:rsid w:val="00AA5988"/>
    <w:rsid w:val="00B03C81"/>
    <w:rsid w:val="00B03E96"/>
    <w:rsid w:val="00B21C46"/>
    <w:rsid w:val="00B37E91"/>
    <w:rsid w:val="00B42E0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B31CA"/>
    <w:rsid w:val="00CC2AA2"/>
    <w:rsid w:val="00CE18BC"/>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766D"/>
    <w:rsid w:val="00F2448C"/>
    <w:rsid w:val="00F33952"/>
    <w:rsid w:val="00F47D57"/>
    <w:rsid w:val="00F55A4E"/>
    <w:rsid w:val="00F61672"/>
    <w:rsid w:val="00F67BB3"/>
    <w:rsid w:val="00F83F8B"/>
    <w:rsid w:val="00F8777D"/>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42E5342D-08CB-4413-A9B8-710A7CB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 w:type="paragraph" w:styleId="Footer">
    <w:name w:val="footer"/>
    <w:basedOn w:val="Normal"/>
    <w:link w:val="FooterChar"/>
    <w:uiPriority w:val="99"/>
    <w:unhideWhenUsed/>
    <w:rsid w:val="0038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B5DD-C6AB-43EC-9334-20CDF3E5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Pankaj Dwivedi</cp:lastModifiedBy>
  <cp:revision>2</cp:revision>
  <cp:lastPrinted>2022-06-15T11:29:00Z</cp:lastPrinted>
  <dcterms:created xsi:type="dcterms:W3CDTF">2025-07-17T07:04:00Z</dcterms:created>
  <dcterms:modified xsi:type="dcterms:W3CDTF">2025-07-17T07:04:00Z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2b60d2f1,711cd7c3,1d498661</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2025-01-29T09:18:03Z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ccf0598f-8570-49cb-9749-10bf3fe3d8f7</vt:lpwstr>
  </property>
  <property fmtid="{D5CDD505-2E9C-101B-9397-08002B2CF9AE}" pid="11" name="MSIP_Label_2bbab825-a111-45e4-86a1-18cee0005896_ContentBits">
    <vt:lpwstr>2</vt:lpwstr>
  </property>
</Properties>
</file>